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308" w:rsidRDefault="00162308" w:rsidP="00162308">
      <w:pPr>
        <w:pStyle w:val="Heading1"/>
        <w:ind w:left="-90"/>
        <w:jc w:val="center"/>
        <w:rPr>
          <w:sz w:val="32"/>
        </w:rPr>
      </w:pPr>
      <w:bookmarkStart w:id="0" w:name="_GoBack"/>
      <w:bookmarkEnd w:id="0"/>
      <w:r>
        <w:rPr>
          <w:sz w:val="32"/>
        </w:rPr>
        <w:t>State Regulation of Public Utilities Review Committee</w:t>
      </w:r>
    </w:p>
    <w:p w:rsidR="00162308" w:rsidRDefault="00162308" w:rsidP="00162308">
      <w:pPr>
        <w:jc w:val="both"/>
        <w:rPr>
          <w:rFonts w:ascii="CG Times" w:hAnsi="CG Times"/>
          <w:b/>
          <w:i/>
          <w:sz w:val="30"/>
        </w:rPr>
      </w:pPr>
      <w:r>
        <w:rPr>
          <w:noProof/>
        </w:rPr>
        <mc:AlternateContent>
          <mc:Choice Requires="wps">
            <w:drawing>
              <wp:anchor distT="0" distB="0" distL="114300" distR="114300" simplePos="0" relativeHeight="251662336" behindDoc="1" locked="1" layoutInCell="0" allowOverlap="1" wp14:anchorId="650A947D" wp14:editId="61EF76C5">
                <wp:simplePos x="0" y="0"/>
                <wp:positionH relativeFrom="margin">
                  <wp:posOffset>2353310</wp:posOffset>
                </wp:positionH>
                <wp:positionV relativeFrom="paragraph">
                  <wp:posOffset>181610</wp:posOffset>
                </wp:positionV>
                <wp:extent cx="1365885" cy="1371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C5190" w:rsidRDefault="00DC5190" w:rsidP="00162308">
                            <w:pPr>
                              <w:pBdr>
                                <w:top w:val="single" w:sz="6" w:space="0" w:color="FFFFFF"/>
                                <w:left w:val="single" w:sz="6" w:space="0" w:color="FFFFFF"/>
                                <w:bottom w:val="single" w:sz="6" w:space="0" w:color="FFFFFF"/>
                                <w:right w:val="single" w:sz="6" w:space="0" w:color="FFFFFF"/>
                              </w:pBdr>
                            </w:pPr>
                            <w:r>
                              <w:rPr>
                                <w:noProof/>
                                <w:sz w:val="20"/>
                              </w:rPr>
                              <w:drawing>
                                <wp:inline distT="0" distB="0" distL="0" distR="0" wp14:anchorId="49861001" wp14:editId="3720DE5D">
                                  <wp:extent cx="1363345" cy="1369060"/>
                                  <wp:effectExtent l="0" t="0" r="825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56" t="-175" r="-156" b="-175"/>
                                          <a:stretch>
                                            <a:fillRect/>
                                          </a:stretch>
                                        </pic:blipFill>
                                        <pic:spPr bwMode="auto">
                                          <a:xfrm>
                                            <a:off x="0" y="0"/>
                                            <a:ext cx="1363345" cy="13690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A947D" id="Rectangle 4" o:spid="_x0000_s1026" style="position:absolute;left:0;text-align:left;margin-left:185.3pt;margin-top:14.3pt;width:107.55pt;height:1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Y4gIAAF8GAAAOAAAAZHJzL2Uyb0RvYy54bWysVduOmzAQfa/Uf7D8zgIJAYKWrBICVaVt&#10;u+q2H+CACVbBprazZFv13zt27tk+VN3mAY3t8ficOTOT27tt16InKhUTPMX+jYcR5aWoGF+n+OuX&#10;wokxUprwirSC0xQ/U4XvZm/f3A59QkeiEW1FJYIgXCVDn+JG6z5xXVU2tCPqRvSUw2EtZEc0LOXa&#10;rSQZIHrXuiPPC91ByKqXoqRKwe5yd4hnNn5d01J/qmtFNWpTDNi0/Ur7XZmvO7slyVqSvmHlHgb5&#10;BxQdYRwePYZaEk3QRrIXoTpWSqFErW9K0bmirllJLQdg43tXbB4b0lPLBZKj+mOa1P8LW358epCI&#10;VSkOMOKkA4k+Q9IIX7cUBSY9Q68S8HrsH6QhqPp7UX5TiIusAS86l1IMDSUVgPKNv3txwSwUXEWr&#10;4YOoIDrZaGEzta1lZwJCDtDWCvJ8FIRuNSph0x+HkzieYFTCmT+O/NCzkrkkOVzvpdLvqOiQMVIs&#10;AbwNT57ulTZwSHJwMa9xUbC2taq3/GIDHHc71JbN7jZJAAqYxtOAspL+nHrTPM7jwAlGYe4E3nLp&#10;zIsscMLCjybL8TLLlv4vg8IPkoZVFeXm0UN5+cHfybcv9F1hHAtMiZZVJpyBpOR6lbUSPREo78L+&#10;rARwcnJzL2HYlACXK0r+KPAWo6lThHHkBEUwcaaRFzueP11MQy+YBsviktI94/T1lNBgRLdcToiv&#10;iHn295IYSTqmYXq0rEtxfHQiiSnHnFdWZU1Yu7PP8mCw/zkP82LiRcE4dqJoMnaCce45i7jInHnm&#10;h2GUL7JFfiVtbstFvT4VVpCz2jvDu3/jBBmK9VCYtt9Mi+1aVW9XWyBu+m4lqmfoPCmgL2D2wZQG&#10;oxHyB0YDTLwUq+8bIilG7XsO3WvG48GQB2N1MAgv4WqKNUY7M9O7MbrpJVs3ENm3MnIxhw6vme29&#10;EwqAbhYwxSyJ/cQ1Y/J8bb1O/wuz3wAAAP//AwBQSwMEFAAGAAgAAAAhABYsuvPfAAAACgEAAA8A&#10;AABkcnMvZG93bnJldi54bWxMj8FOwzAMhu9IvENkJG4sZWxdKU0ntKoS3GBw4ZY1pq1onLbJ2vL2&#10;mBOcLNuffn/O9ovtxISjbx0puF1FIJAqZ1qqFby/lTcJCB80Gd05QgXf6GGfX15kOjVuplecjqEW&#10;HEI+1QqaEPpUSl81aLVfuR6Jd59utDpwO9bSjHrmcNvJdRTF0uqW+EKjezw0WH0dz1ZBMcam9Ien&#10;orz/mIvw/DJMgxyUur5aHh9ABFzCHwy/+qwOOTud3JmMF52Cu10UM6pgnXBlYJtsdyBOPNhsYpB5&#10;Jv+/kP8AAAD//wMAUEsBAi0AFAAGAAgAAAAhALaDOJL+AAAA4QEAABMAAAAAAAAAAAAAAAAAAAAA&#10;AFtDb250ZW50X1R5cGVzXS54bWxQSwECLQAUAAYACAAAACEAOP0h/9YAAACUAQAACwAAAAAAAAAA&#10;AAAAAAAvAQAAX3JlbHMvLnJlbHNQSwECLQAUAAYACAAAACEAdqL/mOICAABfBgAADgAAAAAAAAAA&#10;AAAAAAAuAgAAZHJzL2Uyb0RvYy54bWxQSwECLQAUAAYACAAAACEAFiy6898AAAAKAQAADwAAAAAA&#10;AAAAAAAAAAA8BQAAZHJzL2Rvd25yZXYueG1sUEsFBgAAAAAEAAQA8wAAAEgGAAAAAA==&#10;" o:allowincell="f" filled="f" stroked="f" strokeweight="0">
                <v:textbox inset="0,0,0,0">
                  <w:txbxContent>
                    <w:p w:rsidR="00DC5190" w:rsidRDefault="00DC5190" w:rsidP="00162308">
                      <w:pPr>
                        <w:pBdr>
                          <w:top w:val="single" w:sz="6" w:space="0" w:color="FFFFFF"/>
                          <w:left w:val="single" w:sz="6" w:space="0" w:color="FFFFFF"/>
                          <w:bottom w:val="single" w:sz="6" w:space="0" w:color="FFFFFF"/>
                          <w:right w:val="single" w:sz="6" w:space="0" w:color="FFFFFF"/>
                        </w:pBdr>
                      </w:pPr>
                      <w:r>
                        <w:rPr>
                          <w:noProof/>
                          <w:sz w:val="20"/>
                        </w:rPr>
                        <w:drawing>
                          <wp:inline distT="0" distB="0" distL="0" distR="0" wp14:anchorId="49861001" wp14:editId="3720DE5D">
                            <wp:extent cx="1363345" cy="1369060"/>
                            <wp:effectExtent l="0" t="0" r="825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56" t="-175" r="-156" b="-175"/>
                                    <a:stretch>
                                      <a:fillRect/>
                                    </a:stretch>
                                  </pic:blipFill>
                                  <pic:spPr bwMode="auto">
                                    <a:xfrm>
                                      <a:off x="0" y="0"/>
                                      <a:ext cx="1363345" cy="1369060"/>
                                    </a:xfrm>
                                    <a:prstGeom prst="rect">
                                      <a:avLst/>
                                    </a:prstGeom>
                                    <a:noFill/>
                                    <a:ln>
                                      <a:noFill/>
                                    </a:ln>
                                  </pic:spPr>
                                </pic:pic>
                              </a:graphicData>
                            </a:graphic>
                          </wp:inline>
                        </w:drawing>
                      </w:r>
                    </w:p>
                  </w:txbxContent>
                </v:textbox>
                <w10:wrap anchorx="margin"/>
                <w10:anchorlock/>
              </v:rect>
            </w:pict>
          </mc:Fallback>
        </mc:AlternateContent>
      </w:r>
    </w:p>
    <w:p w:rsidR="00162308" w:rsidRDefault="00162308" w:rsidP="00162308">
      <w:pPr>
        <w:tabs>
          <w:tab w:val="right" w:pos="9360"/>
        </w:tabs>
        <w:ind w:left="-270"/>
        <w:jc w:val="both"/>
        <w:rPr>
          <w:rFonts w:ascii="CG Times" w:hAnsi="CG Times"/>
          <w:i/>
        </w:rPr>
      </w:pPr>
      <w:r>
        <w:rPr>
          <w:rFonts w:ascii="CG Times" w:hAnsi="CG Times"/>
          <w:i/>
        </w:rPr>
        <w:t>Sen. Thomas C. Alexander, Chairman</w:t>
      </w:r>
      <w:r>
        <w:rPr>
          <w:rFonts w:ascii="CG Times" w:hAnsi="CG Times"/>
          <w:i/>
        </w:rPr>
        <w:tab/>
        <w:t>Heather Anderson</w:t>
      </w:r>
    </w:p>
    <w:p w:rsidR="00162308" w:rsidRPr="00D6361A" w:rsidRDefault="00162308" w:rsidP="00162308">
      <w:pPr>
        <w:tabs>
          <w:tab w:val="right" w:pos="9360"/>
        </w:tabs>
        <w:ind w:left="-270"/>
        <w:jc w:val="both"/>
        <w:rPr>
          <w:rFonts w:ascii="CG Times" w:hAnsi="CG Times"/>
          <w:i/>
        </w:rPr>
      </w:pPr>
      <w:r>
        <w:rPr>
          <w:rFonts w:ascii="CG Times" w:hAnsi="CG Times"/>
          <w:i/>
        </w:rPr>
        <w:t>Rep. William E. Sandifer, III, Vice Chairman</w:t>
      </w:r>
      <w:r>
        <w:rPr>
          <w:rFonts w:ascii="CG Times" w:hAnsi="CG Times"/>
          <w:i/>
          <w:sz w:val="20"/>
        </w:rPr>
        <w:tab/>
      </w:r>
      <w:r>
        <w:rPr>
          <w:rFonts w:ascii="CG Times" w:hAnsi="CG Times"/>
          <w:i/>
        </w:rPr>
        <w:t xml:space="preserve">Committee </w:t>
      </w:r>
      <w:r w:rsidRPr="00A361C1">
        <w:rPr>
          <w:rFonts w:ascii="CG Times" w:hAnsi="CG Times"/>
          <w:i/>
        </w:rPr>
        <w:t>Counsel</w:t>
      </w:r>
    </w:p>
    <w:p w:rsidR="00162308" w:rsidRDefault="00162308" w:rsidP="00162308">
      <w:pPr>
        <w:tabs>
          <w:tab w:val="right" w:pos="9360"/>
        </w:tabs>
        <w:ind w:left="-270"/>
        <w:jc w:val="both"/>
        <w:rPr>
          <w:rFonts w:ascii="CG Times" w:hAnsi="CG Times"/>
          <w:i/>
        </w:rPr>
      </w:pPr>
      <w:r>
        <w:rPr>
          <w:rFonts w:ascii="CG Times" w:hAnsi="CG Times"/>
          <w:i/>
        </w:rPr>
        <w:t>Margaret Bluestein, Esquire</w:t>
      </w:r>
      <w:r>
        <w:rPr>
          <w:rFonts w:ascii="CG Times" w:hAnsi="CG Times"/>
          <w:i/>
        </w:rPr>
        <w:tab/>
        <w:t>Steve Davidson</w:t>
      </w:r>
    </w:p>
    <w:p w:rsidR="00162308" w:rsidRDefault="00162308" w:rsidP="00162308">
      <w:pPr>
        <w:tabs>
          <w:tab w:val="right" w:pos="9360"/>
        </w:tabs>
        <w:ind w:left="-270"/>
        <w:jc w:val="both"/>
        <w:rPr>
          <w:rFonts w:ascii="CG Times" w:hAnsi="CG Times"/>
          <w:i/>
        </w:rPr>
      </w:pPr>
      <w:r>
        <w:rPr>
          <w:rFonts w:ascii="CG Times" w:hAnsi="CG Times"/>
          <w:i/>
        </w:rPr>
        <w:t>Rep.</w:t>
      </w:r>
      <w:r w:rsidRPr="008D23B4">
        <w:rPr>
          <w:rFonts w:ascii="CG Times" w:hAnsi="CG Times"/>
          <w:i/>
        </w:rPr>
        <w:t xml:space="preserve"> P. Michael Forrester</w:t>
      </w:r>
      <w:r>
        <w:rPr>
          <w:rFonts w:ascii="CG Times" w:hAnsi="CG Times"/>
          <w:i/>
        </w:rPr>
        <w:tab/>
      </w:r>
      <w:r w:rsidRPr="00A361C1">
        <w:rPr>
          <w:rFonts w:ascii="CG Times" w:hAnsi="CG Times"/>
          <w:i/>
        </w:rPr>
        <w:t>Committee Counsel</w:t>
      </w:r>
    </w:p>
    <w:p w:rsidR="00162308" w:rsidRDefault="00162308" w:rsidP="00162308">
      <w:pPr>
        <w:tabs>
          <w:tab w:val="right" w:pos="9360"/>
        </w:tabs>
        <w:ind w:left="-270"/>
        <w:jc w:val="both"/>
        <w:rPr>
          <w:rFonts w:ascii="CG Times" w:hAnsi="CG Times"/>
          <w:i/>
        </w:rPr>
      </w:pPr>
      <w:r>
        <w:rPr>
          <w:rFonts w:ascii="CG Times" w:hAnsi="CG Times"/>
          <w:i/>
        </w:rPr>
        <w:t>Sen. C. Bradley Hutto</w:t>
      </w:r>
    </w:p>
    <w:p w:rsidR="00162308" w:rsidRDefault="00162308" w:rsidP="00162308">
      <w:pPr>
        <w:tabs>
          <w:tab w:val="right" w:pos="9360"/>
        </w:tabs>
        <w:ind w:left="-270"/>
        <w:jc w:val="both"/>
        <w:rPr>
          <w:rFonts w:ascii="CG Times" w:hAnsi="CG Times"/>
          <w:i/>
        </w:rPr>
      </w:pPr>
      <w:r>
        <w:rPr>
          <w:rFonts w:ascii="CG Times" w:hAnsi="CG Times"/>
          <w:i/>
        </w:rPr>
        <w:t>Dan Jones</w:t>
      </w:r>
    </w:p>
    <w:p w:rsidR="00162308" w:rsidRDefault="00162308" w:rsidP="00162308">
      <w:pPr>
        <w:tabs>
          <w:tab w:val="right" w:pos="9360"/>
        </w:tabs>
        <w:ind w:left="-270"/>
        <w:jc w:val="both"/>
        <w:rPr>
          <w:rFonts w:ascii="CG Times" w:hAnsi="CG Times"/>
          <w:i/>
        </w:rPr>
      </w:pPr>
      <w:r>
        <w:rPr>
          <w:rFonts w:ascii="CG Times" w:hAnsi="CG Times"/>
          <w:i/>
        </w:rPr>
        <w:t>Rep. David J. Mack, III</w:t>
      </w:r>
    </w:p>
    <w:p w:rsidR="00162308" w:rsidRDefault="00162308" w:rsidP="00162308">
      <w:pPr>
        <w:tabs>
          <w:tab w:val="right" w:pos="9360"/>
        </w:tabs>
        <w:ind w:left="-270"/>
        <w:jc w:val="both"/>
        <w:rPr>
          <w:rFonts w:ascii="CG Times" w:hAnsi="CG Times"/>
          <w:i/>
        </w:rPr>
      </w:pPr>
      <w:r>
        <w:rPr>
          <w:rFonts w:ascii="CG Times" w:hAnsi="CG Times"/>
          <w:i/>
        </w:rPr>
        <w:t>Sen. Luke A. Rankin, Sr.</w:t>
      </w:r>
    </w:p>
    <w:p w:rsidR="00162308" w:rsidRDefault="00162308" w:rsidP="00162308">
      <w:pPr>
        <w:tabs>
          <w:tab w:val="right" w:pos="9360"/>
        </w:tabs>
        <w:ind w:left="-270"/>
        <w:rPr>
          <w:rFonts w:ascii="CG Times" w:hAnsi="CG Times"/>
          <w:i/>
        </w:rPr>
      </w:pPr>
      <w:r>
        <w:rPr>
          <w:rFonts w:ascii="CG Times" w:hAnsi="CG Times"/>
          <w:i/>
        </w:rPr>
        <w:t>John S. Simmons, Esquire</w:t>
      </w:r>
    </w:p>
    <w:p w:rsidR="003D7040" w:rsidRDefault="003D7040" w:rsidP="00162308">
      <w:pPr>
        <w:tabs>
          <w:tab w:val="right" w:pos="9360"/>
        </w:tabs>
        <w:ind w:left="-270"/>
        <w:rPr>
          <w:rFonts w:ascii="CG Times" w:hAnsi="CG Times"/>
          <w:i/>
        </w:rPr>
      </w:pPr>
      <w:r>
        <w:rPr>
          <w:rFonts w:ascii="CG Times" w:hAnsi="CG Times"/>
          <w:i/>
        </w:rPr>
        <w:t>Richele K. Taylor, Esquire</w:t>
      </w:r>
    </w:p>
    <w:p w:rsidR="00162308" w:rsidRDefault="00162308" w:rsidP="00162308">
      <w:pPr>
        <w:tabs>
          <w:tab w:val="right" w:pos="9360"/>
        </w:tabs>
        <w:ind w:left="-270"/>
        <w:rPr>
          <w:rFonts w:ascii="CG Times" w:hAnsi="CG Times"/>
          <w:i/>
        </w:rPr>
      </w:pPr>
    </w:p>
    <w:p w:rsidR="00162308" w:rsidRDefault="00162308" w:rsidP="00162308">
      <w:pPr>
        <w:tabs>
          <w:tab w:val="right" w:pos="9360"/>
        </w:tabs>
        <w:ind w:left="-270"/>
        <w:rPr>
          <w:rFonts w:ascii="CG Times" w:hAnsi="CG Times"/>
          <w:i/>
        </w:rPr>
      </w:pPr>
    </w:p>
    <w:p w:rsidR="00162308" w:rsidRDefault="00162308" w:rsidP="00162308">
      <w:pPr>
        <w:tabs>
          <w:tab w:val="right" w:pos="9360"/>
        </w:tabs>
        <w:jc w:val="center"/>
        <w:rPr>
          <w:rFonts w:ascii="CG Times" w:hAnsi="CG Times"/>
          <w:i/>
        </w:rPr>
      </w:pPr>
      <w:r>
        <w:rPr>
          <w:rFonts w:ascii="CG Times" w:hAnsi="CG Times"/>
          <w:i/>
        </w:rPr>
        <w:t>Post Office Box 142</w:t>
      </w:r>
    </w:p>
    <w:p w:rsidR="00162308" w:rsidRDefault="00162308" w:rsidP="00162308">
      <w:pPr>
        <w:jc w:val="center"/>
        <w:rPr>
          <w:rFonts w:ascii="CG Times" w:hAnsi="CG Times"/>
          <w:i/>
        </w:rPr>
      </w:pPr>
      <w:r>
        <w:rPr>
          <w:rFonts w:ascii="CG Times" w:hAnsi="CG Times"/>
          <w:i/>
        </w:rPr>
        <w:t>Columbia, South Carolina 29202</w:t>
      </w:r>
    </w:p>
    <w:p w:rsidR="00162308" w:rsidRDefault="00162308" w:rsidP="00162308">
      <w:pPr>
        <w:jc w:val="center"/>
        <w:rPr>
          <w:rFonts w:ascii="CG Times" w:hAnsi="CG Times"/>
          <w:i/>
        </w:rPr>
      </w:pPr>
      <w:r>
        <w:rPr>
          <w:rFonts w:ascii="CG Times" w:hAnsi="CG Times"/>
          <w:i/>
        </w:rPr>
        <w:t>(803) 212-6208</w:t>
      </w:r>
    </w:p>
    <w:p w:rsidR="008D5023" w:rsidRDefault="008D5023" w:rsidP="008D5023">
      <w:pPr>
        <w:jc w:val="center"/>
      </w:pPr>
    </w:p>
    <w:p w:rsidR="008D5023" w:rsidRDefault="004F6B79" w:rsidP="008D5023">
      <w:pPr>
        <w:jc w:val="center"/>
        <w:rPr>
          <w:sz w:val="24"/>
        </w:rPr>
      </w:pPr>
      <w:r>
        <w:rPr>
          <w:sz w:val="24"/>
        </w:rPr>
        <w:t>October 8</w:t>
      </w:r>
      <w:r w:rsidR="003D7040">
        <w:rPr>
          <w:sz w:val="24"/>
        </w:rPr>
        <w:t>, 2019</w:t>
      </w:r>
    </w:p>
    <w:p w:rsidR="008D5023" w:rsidRDefault="008D5023" w:rsidP="008D5023">
      <w:pPr>
        <w:jc w:val="both"/>
        <w:rPr>
          <w:sz w:val="24"/>
        </w:rPr>
      </w:pPr>
    </w:p>
    <w:p w:rsidR="008D5023" w:rsidRDefault="008D5023" w:rsidP="00995572">
      <w:pPr>
        <w:ind w:left="1350" w:hanging="1350"/>
        <w:jc w:val="both"/>
        <w:rPr>
          <w:b/>
          <w:bCs/>
          <w:sz w:val="24"/>
        </w:rPr>
      </w:pPr>
      <w:r>
        <w:rPr>
          <w:sz w:val="24"/>
        </w:rPr>
        <w:t>SUBJECT:</w:t>
      </w:r>
      <w:r w:rsidR="00995572">
        <w:rPr>
          <w:sz w:val="24"/>
        </w:rPr>
        <w:t xml:space="preserve"> </w:t>
      </w:r>
      <w:r w:rsidR="000A0F0F">
        <w:rPr>
          <w:b/>
          <w:bCs/>
          <w:sz w:val="24"/>
        </w:rPr>
        <w:t xml:space="preserve">ATTENDANCE BY CANDIDATES FOR THE PUBLIC SERVICE COMMISSION AT </w:t>
      </w:r>
      <w:r w:rsidR="00162308">
        <w:rPr>
          <w:b/>
          <w:bCs/>
          <w:sz w:val="24"/>
        </w:rPr>
        <w:t>POLITICAL GATHERINGS</w:t>
      </w:r>
      <w:r w:rsidR="00AB35A1">
        <w:rPr>
          <w:b/>
          <w:bCs/>
          <w:sz w:val="24"/>
        </w:rPr>
        <w:t xml:space="preserve"> </w:t>
      </w:r>
    </w:p>
    <w:p w:rsidR="008D5023" w:rsidRDefault="008D5023" w:rsidP="008D5023">
      <w:pPr>
        <w:ind w:left="1440" w:hanging="1440"/>
        <w:jc w:val="both"/>
        <w:rPr>
          <w:sz w:val="24"/>
        </w:rPr>
      </w:pPr>
    </w:p>
    <w:p w:rsidR="00C360C6" w:rsidRDefault="00162308" w:rsidP="00440217">
      <w:pPr>
        <w:tabs>
          <w:tab w:val="left" w:pos="1800"/>
        </w:tabs>
        <w:jc w:val="both"/>
        <w:rPr>
          <w:sz w:val="24"/>
        </w:rPr>
      </w:pPr>
      <w:r>
        <w:rPr>
          <w:sz w:val="24"/>
        </w:rPr>
        <w:t>Pursuant to Section 58-3-30(B), members of the Public Service Commission are bound by the Code of Judicial Conduct.  Canon 5</w:t>
      </w:r>
      <w:r w:rsidR="00B3454D">
        <w:rPr>
          <w:sz w:val="24"/>
        </w:rPr>
        <w:t xml:space="preserve"> of the Code of Judicial Conduct </w:t>
      </w:r>
      <w:r>
        <w:rPr>
          <w:sz w:val="24"/>
        </w:rPr>
        <w:t>states “a judge or judicial candidate shall refrain from inappropriate political activity</w:t>
      </w:r>
      <w:r w:rsidR="00F82EC4">
        <w:rPr>
          <w:sz w:val="24"/>
        </w:rPr>
        <w:t>.</w:t>
      </w:r>
      <w:r>
        <w:rPr>
          <w:sz w:val="24"/>
        </w:rPr>
        <w:t>”  Section (A) in Canon 5</w:t>
      </w:r>
      <w:r w:rsidR="00C360C6">
        <w:rPr>
          <w:sz w:val="24"/>
        </w:rPr>
        <w:t xml:space="preserve"> states, in part, “a judge or a candidate* for election or appointment to judicial office shall not:</w:t>
      </w:r>
    </w:p>
    <w:p w:rsidR="00C360C6" w:rsidRDefault="00C360C6" w:rsidP="00440217">
      <w:pPr>
        <w:tabs>
          <w:tab w:val="left" w:pos="1800"/>
        </w:tabs>
        <w:jc w:val="both"/>
        <w:rPr>
          <w:sz w:val="24"/>
        </w:rPr>
      </w:pPr>
      <w:r>
        <w:rPr>
          <w:sz w:val="24"/>
        </w:rPr>
        <w:t>(a) act as a leader or hold an office in a political organization*;</w:t>
      </w:r>
    </w:p>
    <w:p w:rsidR="00C360C6" w:rsidRDefault="00C360C6" w:rsidP="00440217">
      <w:pPr>
        <w:tabs>
          <w:tab w:val="left" w:pos="1800"/>
        </w:tabs>
        <w:jc w:val="both"/>
        <w:rPr>
          <w:sz w:val="24"/>
        </w:rPr>
      </w:pPr>
      <w:r>
        <w:rPr>
          <w:sz w:val="24"/>
        </w:rPr>
        <w:t>(b) publicly endorse or publicly oppose another candidate for public office;</w:t>
      </w:r>
    </w:p>
    <w:p w:rsidR="00C360C6" w:rsidRDefault="00C360C6" w:rsidP="00440217">
      <w:pPr>
        <w:tabs>
          <w:tab w:val="left" w:pos="1800"/>
        </w:tabs>
        <w:jc w:val="both"/>
        <w:rPr>
          <w:sz w:val="24"/>
        </w:rPr>
      </w:pPr>
      <w:r>
        <w:rPr>
          <w:sz w:val="24"/>
        </w:rPr>
        <w:t>(c) make speeches on behalf of a political organization;</w:t>
      </w:r>
    </w:p>
    <w:p w:rsidR="00C360C6" w:rsidRDefault="00C360C6" w:rsidP="00440217">
      <w:pPr>
        <w:tabs>
          <w:tab w:val="left" w:pos="1800"/>
        </w:tabs>
        <w:jc w:val="both"/>
        <w:rPr>
          <w:sz w:val="24"/>
        </w:rPr>
      </w:pPr>
      <w:r>
        <w:rPr>
          <w:sz w:val="24"/>
        </w:rPr>
        <w:t>(d) attend political gatherings; or</w:t>
      </w:r>
    </w:p>
    <w:p w:rsidR="00C360C6" w:rsidRDefault="00C360C6" w:rsidP="00440217">
      <w:pPr>
        <w:tabs>
          <w:tab w:val="left" w:pos="1800"/>
        </w:tabs>
        <w:jc w:val="both"/>
        <w:rPr>
          <w:sz w:val="24"/>
        </w:rPr>
      </w:pPr>
      <w:r>
        <w:rPr>
          <w:sz w:val="24"/>
        </w:rPr>
        <w:t>(e) solicit fund</w:t>
      </w:r>
      <w:r w:rsidR="00B606BF">
        <w:rPr>
          <w:sz w:val="24"/>
        </w:rPr>
        <w:t>s</w:t>
      </w:r>
      <w:r>
        <w:rPr>
          <w:sz w:val="24"/>
        </w:rPr>
        <w:t xml:space="preserve"> for, pay an assessment to or make a contribution to a political organization or candidate, or purchase tickets for political party dinners or other functions.”  </w:t>
      </w:r>
    </w:p>
    <w:p w:rsidR="00C360C6" w:rsidRDefault="00C360C6" w:rsidP="00440217">
      <w:pPr>
        <w:tabs>
          <w:tab w:val="left" w:pos="1800"/>
        </w:tabs>
        <w:jc w:val="both"/>
        <w:rPr>
          <w:sz w:val="24"/>
        </w:rPr>
      </w:pPr>
      <w:r>
        <w:rPr>
          <w:sz w:val="24"/>
        </w:rPr>
        <w:t xml:space="preserve">Section (A) provides for certain exceptions </w:t>
      </w:r>
      <w:r w:rsidR="006E110D">
        <w:rPr>
          <w:sz w:val="24"/>
        </w:rPr>
        <w:t xml:space="preserve">to these prohibitions, as described in Sections 5B(2), 5C(1) and 5C(3), depending on whether the candidate is subject to </w:t>
      </w:r>
      <w:r w:rsidR="003D7040" w:rsidRPr="00E9064A">
        <w:rPr>
          <w:sz w:val="24"/>
        </w:rPr>
        <w:t>public</w:t>
      </w:r>
      <w:r w:rsidR="003D7040">
        <w:rPr>
          <w:sz w:val="24"/>
        </w:rPr>
        <w:t xml:space="preserve"> </w:t>
      </w:r>
      <w:r w:rsidR="006E110D">
        <w:rPr>
          <w:sz w:val="24"/>
        </w:rPr>
        <w:t>election or appointment to judicial office.</w:t>
      </w:r>
    </w:p>
    <w:p w:rsidR="00C360C6" w:rsidRDefault="00C360C6" w:rsidP="00440217">
      <w:pPr>
        <w:tabs>
          <w:tab w:val="left" w:pos="1800"/>
        </w:tabs>
        <w:jc w:val="both"/>
        <w:rPr>
          <w:sz w:val="24"/>
        </w:rPr>
      </w:pPr>
    </w:p>
    <w:p w:rsidR="001E227F" w:rsidRDefault="001E227F" w:rsidP="00440217">
      <w:pPr>
        <w:tabs>
          <w:tab w:val="left" w:pos="1800"/>
        </w:tabs>
        <w:jc w:val="both"/>
        <w:rPr>
          <w:sz w:val="24"/>
        </w:rPr>
      </w:pPr>
      <w:r>
        <w:rPr>
          <w:sz w:val="24"/>
        </w:rPr>
        <w:t xml:space="preserve">Section 58-3-130(1)(a) charges the Public Utilities Review Committee (hereinafter referred to as “Review Committee”) with nominating no more than three qualified candidates for each seat on the Public Service Commission to be elected by the General Assembly.  </w:t>
      </w:r>
      <w:r w:rsidR="00C360C6">
        <w:rPr>
          <w:sz w:val="24"/>
        </w:rPr>
        <w:t xml:space="preserve">The Review Committee strives to ensure that </w:t>
      </w:r>
      <w:r>
        <w:rPr>
          <w:sz w:val="24"/>
        </w:rPr>
        <w:t>all candidates</w:t>
      </w:r>
      <w:r w:rsidR="00C360C6">
        <w:rPr>
          <w:sz w:val="24"/>
        </w:rPr>
        <w:t xml:space="preserve"> are afforded equal treatment</w:t>
      </w:r>
      <w:r w:rsidR="00C96022">
        <w:rPr>
          <w:sz w:val="24"/>
        </w:rPr>
        <w:t>.</w:t>
      </w:r>
      <w:r>
        <w:rPr>
          <w:sz w:val="24"/>
        </w:rPr>
        <w:t xml:space="preserve">  The Review Committee also strives to uphold integrity throughout the screening process</w:t>
      </w:r>
      <w:r w:rsidR="00C96022">
        <w:rPr>
          <w:sz w:val="24"/>
        </w:rPr>
        <w:t xml:space="preserve"> </w:t>
      </w:r>
      <w:r>
        <w:rPr>
          <w:sz w:val="24"/>
        </w:rPr>
        <w:t>so that members of the General Assembly and members of the public can have confide</w:t>
      </w:r>
      <w:r w:rsidR="00500C66">
        <w:rPr>
          <w:sz w:val="24"/>
        </w:rPr>
        <w:t xml:space="preserve">nce in the screening process.  </w:t>
      </w:r>
    </w:p>
    <w:p w:rsidR="001E227F" w:rsidRDefault="001E227F" w:rsidP="00440217">
      <w:pPr>
        <w:tabs>
          <w:tab w:val="left" w:pos="1800"/>
        </w:tabs>
        <w:jc w:val="both"/>
        <w:rPr>
          <w:sz w:val="24"/>
        </w:rPr>
      </w:pPr>
    </w:p>
    <w:p w:rsidR="00C360C6" w:rsidRPr="00E9064A" w:rsidRDefault="001E227F" w:rsidP="00440217">
      <w:pPr>
        <w:tabs>
          <w:tab w:val="left" w:pos="1800"/>
        </w:tabs>
        <w:jc w:val="both"/>
        <w:rPr>
          <w:sz w:val="24"/>
        </w:rPr>
      </w:pPr>
      <w:r>
        <w:rPr>
          <w:sz w:val="24"/>
        </w:rPr>
        <w:t>I</w:t>
      </w:r>
      <w:r w:rsidR="00C96022">
        <w:rPr>
          <w:sz w:val="24"/>
        </w:rPr>
        <w:t>n its 2006 advisory opinion</w:t>
      </w:r>
      <w:r w:rsidR="00A436C6">
        <w:rPr>
          <w:sz w:val="24"/>
        </w:rPr>
        <w:t>, the Review Committee summarizes Canon 5 as prohibiting “commissioners and commission candidates from attending political gatherings</w:t>
      </w:r>
      <w:r w:rsidR="00F82EC4">
        <w:rPr>
          <w:sz w:val="24"/>
        </w:rPr>
        <w:t>.</w:t>
      </w:r>
      <w:r w:rsidR="00A436C6">
        <w:rPr>
          <w:sz w:val="24"/>
        </w:rPr>
        <w:t xml:space="preserve">”  </w:t>
      </w:r>
      <w:r w:rsidR="005A63CF">
        <w:rPr>
          <w:sz w:val="24"/>
        </w:rPr>
        <w:t xml:space="preserve">In the context of the screening for Public Service Commission, the Review Committee establishes an official </w:t>
      </w:r>
      <w:r w:rsidR="005A63CF">
        <w:rPr>
          <w:sz w:val="24"/>
        </w:rPr>
        <w:lastRenderedPageBreak/>
        <w:t>position that all</w:t>
      </w:r>
      <w:r>
        <w:rPr>
          <w:sz w:val="24"/>
        </w:rPr>
        <w:t xml:space="preserve"> Public Service Commission</w:t>
      </w:r>
      <w:r w:rsidR="005A63CF">
        <w:rPr>
          <w:sz w:val="24"/>
        </w:rPr>
        <w:t xml:space="preserve"> candidates</w:t>
      </w:r>
      <w:r>
        <w:rPr>
          <w:sz w:val="24"/>
        </w:rPr>
        <w:t xml:space="preserve">, including incumbent commissioners </w:t>
      </w:r>
      <w:r w:rsidR="005A63CF">
        <w:rPr>
          <w:sz w:val="24"/>
        </w:rPr>
        <w:t xml:space="preserve">seeking reelection, should abide by the prohibitions </w:t>
      </w:r>
      <w:r w:rsidR="0027417B">
        <w:rPr>
          <w:sz w:val="24"/>
        </w:rPr>
        <w:t>listed</w:t>
      </w:r>
      <w:r w:rsidR="005A63CF">
        <w:rPr>
          <w:sz w:val="24"/>
        </w:rPr>
        <w:t xml:space="preserve"> in Canon 5, section (A), and that candidates</w:t>
      </w:r>
      <w:r w:rsidR="00B606BF">
        <w:rPr>
          <w:sz w:val="24"/>
        </w:rPr>
        <w:t xml:space="preserve"> are not </w:t>
      </w:r>
      <w:r w:rsidR="000B21A1">
        <w:rPr>
          <w:sz w:val="24"/>
        </w:rPr>
        <w:t>subject to</w:t>
      </w:r>
      <w:r w:rsidR="00B606BF">
        <w:rPr>
          <w:sz w:val="24"/>
        </w:rPr>
        <w:t xml:space="preserve"> the exceptions provided in Canon 5, Sections 5B(2), 5C(1) and 5C(3). </w:t>
      </w:r>
      <w:r w:rsidR="006E110D">
        <w:rPr>
          <w:sz w:val="24"/>
        </w:rPr>
        <w:t xml:space="preserve"> Failure to follow the guidelines set forth in this opinion </w:t>
      </w:r>
      <w:r w:rsidR="003D7040" w:rsidRPr="00E9064A">
        <w:rPr>
          <w:sz w:val="24"/>
        </w:rPr>
        <w:t xml:space="preserve">on or </w:t>
      </w:r>
      <w:r w:rsidR="006E110D" w:rsidRPr="00E9064A">
        <w:rPr>
          <w:sz w:val="24"/>
        </w:rPr>
        <w:t xml:space="preserve">after October </w:t>
      </w:r>
      <w:r w:rsidR="003D7040" w:rsidRPr="00E9064A">
        <w:rPr>
          <w:sz w:val="24"/>
        </w:rPr>
        <w:t>11</w:t>
      </w:r>
      <w:r w:rsidR="006E110D" w:rsidRPr="00E9064A">
        <w:rPr>
          <w:sz w:val="24"/>
        </w:rPr>
        <w:t>, 2019</w:t>
      </w:r>
      <w:r w:rsidR="006E110D">
        <w:rPr>
          <w:sz w:val="24"/>
        </w:rPr>
        <w:t xml:space="preserve"> </w:t>
      </w:r>
      <w:r w:rsidR="00CA57F0">
        <w:rPr>
          <w:sz w:val="24"/>
        </w:rPr>
        <w:t>will</w:t>
      </w:r>
      <w:r w:rsidR="006E110D">
        <w:rPr>
          <w:sz w:val="24"/>
        </w:rPr>
        <w:t xml:space="preserve"> be considered by the Review Committee as a </w:t>
      </w:r>
      <w:r w:rsidR="00257F15">
        <w:rPr>
          <w:sz w:val="24"/>
        </w:rPr>
        <w:t xml:space="preserve">negative </w:t>
      </w:r>
      <w:r w:rsidR="006E110D">
        <w:rPr>
          <w:sz w:val="24"/>
        </w:rPr>
        <w:t xml:space="preserve">factor in its screening process. </w:t>
      </w:r>
      <w:r w:rsidR="003D7040">
        <w:rPr>
          <w:sz w:val="24"/>
        </w:rPr>
        <w:t xml:space="preserve"> </w:t>
      </w:r>
      <w:r w:rsidR="003D7040" w:rsidRPr="00E9064A">
        <w:rPr>
          <w:sz w:val="24"/>
        </w:rPr>
        <w:t>This advisory opinion does not alter the advisory opinions previously issued by the Review Committee.</w:t>
      </w:r>
      <w:r w:rsidR="006E110D" w:rsidRPr="00E9064A">
        <w:rPr>
          <w:sz w:val="24"/>
        </w:rPr>
        <w:t xml:space="preserve"> </w:t>
      </w:r>
    </w:p>
    <w:p w:rsidR="00C360C6" w:rsidRDefault="00C360C6" w:rsidP="00440217">
      <w:pPr>
        <w:tabs>
          <w:tab w:val="left" w:pos="1800"/>
        </w:tabs>
        <w:jc w:val="both"/>
        <w:rPr>
          <w:sz w:val="24"/>
        </w:rPr>
      </w:pPr>
    </w:p>
    <w:p w:rsidR="00C81DA9" w:rsidRDefault="00C81DA9" w:rsidP="00440217">
      <w:pPr>
        <w:tabs>
          <w:tab w:val="left" w:pos="1800"/>
        </w:tabs>
        <w:jc w:val="both"/>
        <w:rPr>
          <w:sz w:val="24"/>
        </w:rPr>
      </w:pPr>
    </w:p>
    <w:p w:rsidR="00C81DA9" w:rsidRDefault="00C81DA9" w:rsidP="00440217">
      <w:pPr>
        <w:tabs>
          <w:tab w:val="left" w:pos="1800"/>
        </w:tabs>
        <w:jc w:val="both"/>
        <w:rPr>
          <w:sz w:val="24"/>
        </w:rPr>
      </w:pPr>
    </w:p>
    <w:p w:rsidR="00162308" w:rsidRDefault="00162308" w:rsidP="00440217">
      <w:pPr>
        <w:tabs>
          <w:tab w:val="left" w:pos="1800"/>
        </w:tabs>
        <w:jc w:val="both"/>
        <w:rPr>
          <w:sz w:val="24"/>
        </w:rPr>
      </w:pPr>
    </w:p>
    <w:p w:rsidR="00162308" w:rsidRDefault="00162308" w:rsidP="00440217">
      <w:pPr>
        <w:tabs>
          <w:tab w:val="left" w:pos="1800"/>
        </w:tabs>
        <w:jc w:val="both"/>
        <w:rPr>
          <w:sz w:val="24"/>
        </w:rPr>
      </w:pPr>
    </w:p>
    <w:p w:rsidR="00C21D46" w:rsidRDefault="00C21D46" w:rsidP="00B606BF">
      <w:pPr>
        <w:tabs>
          <w:tab w:val="left" w:pos="1800"/>
        </w:tabs>
        <w:jc w:val="both"/>
        <w:rPr>
          <w:sz w:val="24"/>
        </w:rPr>
      </w:pPr>
    </w:p>
    <w:p w:rsidR="00C21D46" w:rsidRDefault="00C21D46" w:rsidP="008D5023">
      <w:pPr>
        <w:widowControl w:val="0"/>
        <w:autoSpaceDE w:val="0"/>
        <w:autoSpaceDN w:val="0"/>
        <w:adjustRightInd w:val="0"/>
        <w:jc w:val="both"/>
        <w:rPr>
          <w:sz w:val="24"/>
        </w:rPr>
      </w:pPr>
    </w:p>
    <w:p w:rsidR="008D5023" w:rsidRDefault="008D5023" w:rsidP="008D5023">
      <w:pPr>
        <w:jc w:val="both"/>
        <w:rPr>
          <w:b/>
          <w:bCs/>
          <w:sz w:val="24"/>
        </w:rPr>
      </w:pPr>
      <w:r>
        <w:rPr>
          <w:b/>
          <w:bCs/>
          <w:sz w:val="24"/>
        </w:rPr>
        <w:t xml:space="preserve">THIS OPINION IS ADVISORY IN NATURE ONLY.  THE STATE ETHICS COMMISSION IS RESPONSIBLE FOR ENFORCING VIOLATIONS BY INCUMBENT COMMISSIONERS OF THE STATE ETHICS ACT AND THE CODE OF JUDICIAL CONDUCT.  THE REVIEW COMMITTEE </w:t>
      </w:r>
      <w:r w:rsidR="00257F15">
        <w:rPr>
          <w:b/>
          <w:bCs/>
          <w:sz w:val="24"/>
        </w:rPr>
        <w:t>WILL</w:t>
      </w:r>
      <w:r>
        <w:rPr>
          <w:b/>
          <w:bCs/>
          <w:sz w:val="24"/>
        </w:rPr>
        <w:t xml:space="preserve"> CONSIDER VIOLATIONS WHEN IT CONSIDERS A CANDIDATE’S QUALIFICATIONS.</w:t>
      </w:r>
    </w:p>
    <w:p w:rsidR="008D5023" w:rsidRDefault="008D5023" w:rsidP="008D5023">
      <w:pPr>
        <w:jc w:val="both"/>
        <w:rPr>
          <w:b/>
          <w:bCs/>
          <w:sz w:val="24"/>
        </w:rPr>
      </w:pPr>
    </w:p>
    <w:p w:rsidR="00EE1C0A" w:rsidRDefault="00EE1C0A">
      <w:pPr>
        <w:jc w:val="center"/>
        <w:rPr>
          <w:b/>
          <w:bCs/>
          <w:i/>
          <w:iCs/>
          <w:sz w:val="24"/>
        </w:rPr>
      </w:pPr>
    </w:p>
    <w:sectPr w:rsidR="00EE1C0A" w:rsidSect="00995572">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190" w:rsidRDefault="00DC5190" w:rsidP="008467D0">
      <w:r>
        <w:separator/>
      </w:r>
    </w:p>
  </w:endnote>
  <w:endnote w:type="continuationSeparator" w:id="0">
    <w:p w:rsidR="00DC5190" w:rsidRDefault="00DC5190" w:rsidP="0084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190" w:rsidRDefault="00DC51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C5190" w:rsidRDefault="00DC5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419709"/>
      <w:docPartObj>
        <w:docPartGallery w:val="Page Numbers (Bottom of Page)"/>
        <w:docPartUnique/>
      </w:docPartObj>
    </w:sdtPr>
    <w:sdtEndPr>
      <w:rPr>
        <w:noProof/>
      </w:rPr>
    </w:sdtEndPr>
    <w:sdtContent>
      <w:p w:rsidR="00721108" w:rsidRDefault="00721108">
        <w:pPr>
          <w:pStyle w:val="Footer"/>
          <w:jc w:val="center"/>
        </w:pPr>
        <w:r>
          <w:fldChar w:fldCharType="begin"/>
        </w:r>
        <w:r>
          <w:instrText xml:space="preserve"> PAGE   \* MERGEFORMAT </w:instrText>
        </w:r>
        <w:r>
          <w:fldChar w:fldCharType="separate"/>
        </w:r>
        <w:r w:rsidR="00CA2D37">
          <w:rPr>
            <w:noProof/>
          </w:rPr>
          <w:t>1</w:t>
        </w:r>
        <w:r>
          <w:rPr>
            <w:noProof/>
          </w:rPr>
          <w:fldChar w:fldCharType="end"/>
        </w:r>
      </w:p>
    </w:sdtContent>
  </w:sdt>
  <w:p w:rsidR="00DC5190" w:rsidRDefault="00DC5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190" w:rsidRDefault="00DC5190" w:rsidP="008467D0">
      <w:r>
        <w:separator/>
      </w:r>
    </w:p>
  </w:footnote>
  <w:footnote w:type="continuationSeparator" w:id="0">
    <w:p w:rsidR="00DC5190" w:rsidRDefault="00DC5190" w:rsidP="00846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23"/>
    <w:rsid w:val="00005116"/>
    <w:rsid w:val="000071B4"/>
    <w:rsid w:val="0004162B"/>
    <w:rsid w:val="00050C7B"/>
    <w:rsid w:val="000A0F0F"/>
    <w:rsid w:val="000B21A1"/>
    <w:rsid w:val="000C7F4E"/>
    <w:rsid w:val="000F69B0"/>
    <w:rsid w:val="00105CC7"/>
    <w:rsid w:val="0011425C"/>
    <w:rsid w:val="0016197B"/>
    <w:rsid w:val="00162308"/>
    <w:rsid w:val="00171FC2"/>
    <w:rsid w:val="0018530A"/>
    <w:rsid w:val="001A497F"/>
    <w:rsid w:val="001B021B"/>
    <w:rsid w:val="001D471A"/>
    <w:rsid w:val="001E227F"/>
    <w:rsid w:val="001F1055"/>
    <w:rsid w:val="002040BA"/>
    <w:rsid w:val="00204E28"/>
    <w:rsid w:val="00211997"/>
    <w:rsid w:val="00257F15"/>
    <w:rsid w:val="002652D5"/>
    <w:rsid w:val="0027417B"/>
    <w:rsid w:val="002D0C89"/>
    <w:rsid w:val="002F2465"/>
    <w:rsid w:val="002F4C50"/>
    <w:rsid w:val="0033017D"/>
    <w:rsid w:val="00335698"/>
    <w:rsid w:val="00340402"/>
    <w:rsid w:val="00340B5F"/>
    <w:rsid w:val="003D7040"/>
    <w:rsid w:val="0041028A"/>
    <w:rsid w:val="00425EC7"/>
    <w:rsid w:val="00440217"/>
    <w:rsid w:val="00467284"/>
    <w:rsid w:val="00492329"/>
    <w:rsid w:val="004956B6"/>
    <w:rsid w:val="004F0AD4"/>
    <w:rsid w:val="004F31CE"/>
    <w:rsid w:val="004F6B79"/>
    <w:rsid w:val="00500C66"/>
    <w:rsid w:val="00511346"/>
    <w:rsid w:val="005443DB"/>
    <w:rsid w:val="00545E41"/>
    <w:rsid w:val="00550172"/>
    <w:rsid w:val="00575E7C"/>
    <w:rsid w:val="005A63CF"/>
    <w:rsid w:val="005C37D1"/>
    <w:rsid w:val="005D451B"/>
    <w:rsid w:val="00604E71"/>
    <w:rsid w:val="00605DE3"/>
    <w:rsid w:val="006560A7"/>
    <w:rsid w:val="00676F46"/>
    <w:rsid w:val="006820AD"/>
    <w:rsid w:val="006B06EF"/>
    <w:rsid w:val="006E110D"/>
    <w:rsid w:val="00702671"/>
    <w:rsid w:val="00721108"/>
    <w:rsid w:val="00722BD5"/>
    <w:rsid w:val="007237E6"/>
    <w:rsid w:val="007412FD"/>
    <w:rsid w:val="00752563"/>
    <w:rsid w:val="00794933"/>
    <w:rsid w:val="007B3DC0"/>
    <w:rsid w:val="00811605"/>
    <w:rsid w:val="008467D0"/>
    <w:rsid w:val="0086127B"/>
    <w:rsid w:val="00866C82"/>
    <w:rsid w:val="00873E28"/>
    <w:rsid w:val="008C21BA"/>
    <w:rsid w:val="008D5023"/>
    <w:rsid w:val="008F2AE8"/>
    <w:rsid w:val="0095666E"/>
    <w:rsid w:val="0098009B"/>
    <w:rsid w:val="00995572"/>
    <w:rsid w:val="009D3E92"/>
    <w:rsid w:val="009D5032"/>
    <w:rsid w:val="009F4004"/>
    <w:rsid w:val="009F7625"/>
    <w:rsid w:val="00A1453D"/>
    <w:rsid w:val="00A215E5"/>
    <w:rsid w:val="00A21B26"/>
    <w:rsid w:val="00A436C6"/>
    <w:rsid w:val="00A56CEE"/>
    <w:rsid w:val="00A67C2C"/>
    <w:rsid w:val="00AB35A1"/>
    <w:rsid w:val="00AD38FA"/>
    <w:rsid w:val="00B0638E"/>
    <w:rsid w:val="00B3454D"/>
    <w:rsid w:val="00B409F3"/>
    <w:rsid w:val="00B606BF"/>
    <w:rsid w:val="00BB776A"/>
    <w:rsid w:val="00BD6E94"/>
    <w:rsid w:val="00C00C86"/>
    <w:rsid w:val="00C138E6"/>
    <w:rsid w:val="00C21D46"/>
    <w:rsid w:val="00C360C6"/>
    <w:rsid w:val="00C47BFB"/>
    <w:rsid w:val="00C706BE"/>
    <w:rsid w:val="00C814DA"/>
    <w:rsid w:val="00C81DA9"/>
    <w:rsid w:val="00C96022"/>
    <w:rsid w:val="00CA2D37"/>
    <w:rsid w:val="00CA57F0"/>
    <w:rsid w:val="00CE57BF"/>
    <w:rsid w:val="00D548EF"/>
    <w:rsid w:val="00DC5190"/>
    <w:rsid w:val="00E15E29"/>
    <w:rsid w:val="00E50A50"/>
    <w:rsid w:val="00E9064A"/>
    <w:rsid w:val="00EE1C0A"/>
    <w:rsid w:val="00EF1572"/>
    <w:rsid w:val="00F26570"/>
    <w:rsid w:val="00F3285E"/>
    <w:rsid w:val="00F82EC4"/>
    <w:rsid w:val="00FB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1DF682C-756A-44D1-897E-1E0683B5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E5"/>
    <w:pPr>
      <w:jc w:val="left"/>
    </w:pPr>
    <w:rPr>
      <w:rFonts w:ascii="Times New Roman" w:hAnsi="Times New Roman"/>
    </w:rPr>
  </w:style>
  <w:style w:type="paragraph" w:styleId="Heading1">
    <w:name w:val="heading 1"/>
    <w:basedOn w:val="Normal"/>
    <w:next w:val="Normal"/>
    <w:link w:val="Heading1Char"/>
    <w:qFormat/>
    <w:rsid w:val="008D5023"/>
    <w:pPr>
      <w:keepNext/>
      <w:tabs>
        <w:tab w:val="center" w:pos="4680"/>
      </w:tabs>
      <w:jc w:val="both"/>
      <w:outlineLvl w:val="0"/>
    </w:pPr>
    <w:rPr>
      <w:rFonts w:ascii="CG Times" w:eastAsia="Times New Roman" w:hAnsi="CG Times" w:cs="Times New Roman"/>
      <w:b/>
      <w:i/>
      <w:snapToGrid w:val="0"/>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5023"/>
    <w:pPr>
      <w:tabs>
        <w:tab w:val="center" w:pos="4320"/>
        <w:tab w:val="right" w:pos="8640"/>
      </w:tabs>
    </w:pPr>
    <w:rPr>
      <w:rFonts w:eastAsia="Times New Roman" w:cs="Times New Roman"/>
      <w:szCs w:val="20"/>
    </w:rPr>
  </w:style>
  <w:style w:type="character" w:customStyle="1" w:styleId="FooterChar">
    <w:name w:val="Footer Char"/>
    <w:basedOn w:val="DefaultParagraphFont"/>
    <w:link w:val="Footer"/>
    <w:uiPriority w:val="99"/>
    <w:rsid w:val="008D5023"/>
    <w:rPr>
      <w:rFonts w:ascii="Times New Roman" w:eastAsia="Times New Roman" w:hAnsi="Times New Roman" w:cs="Times New Roman"/>
      <w:szCs w:val="20"/>
    </w:rPr>
  </w:style>
  <w:style w:type="character" w:styleId="PageNumber">
    <w:name w:val="page number"/>
    <w:basedOn w:val="DefaultParagraphFont"/>
    <w:semiHidden/>
    <w:rsid w:val="008D5023"/>
  </w:style>
  <w:style w:type="character" w:customStyle="1" w:styleId="Heading1Char">
    <w:name w:val="Heading 1 Char"/>
    <w:basedOn w:val="DefaultParagraphFont"/>
    <w:link w:val="Heading1"/>
    <w:rsid w:val="008D5023"/>
    <w:rPr>
      <w:rFonts w:ascii="CG Times" w:eastAsia="Times New Roman" w:hAnsi="CG Times" w:cs="Times New Roman"/>
      <w:b/>
      <w:i/>
      <w:snapToGrid w:val="0"/>
      <w:sz w:val="30"/>
      <w:szCs w:val="20"/>
    </w:rPr>
  </w:style>
  <w:style w:type="paragraph" w:styleId="BalloonText">
    <w:name w:val="Balloon Text"/>
    <w:basedOn w:val="Normal"/>
    <w:link w:val="BalloonTextChar"/>
    <w:uiPriority w:val="99"/>
    <w:semiHidden/>
    <w:unhideWhenUsed/>
    <w:rsid w:val="008D5023"/>
    <w:rPr>
      <w:rFonts w:ascii="Tahoma" w:hAnsi="Tahoma" w:cs="Tahoma"/>
      <w:sz w:val="16"/>
      <w:szCs w:val="16"/>
    </w:rPr>
  </w:style>
  <w:style w:type="character" w:customStyle="1" w:styleId="BalloonTextChar">
    <w:name w:val="Balloon Text Char"/>
    <w:basedOn w:val="DefaultParagraphFont"/>
    <w:link w:val="BalloonText"/>
    <w:uiPriority w:val="99"/>
    <w:semiHidden/>
    <w:rsid w:val="008D5023"/>
    <w:rPr>
      <w:rFonts w:ascii="Tahoma" w:hAnsi="Tahoma" w:cs="Tahoma"/>
      <w:sz w:val="16"/>
      <w:szCs w:val="16"/>
    </w:rPr>
  </w:style>
  <w:style w:type="paragraph" w:styleId="Header">
    <w:name w:val="header"/>
    <w:basedOn w:val="Normal"/>
    <w:link w:val="HeaderChar"/>
    <w:uiPriority w:val="99"/>
    <w:unhideWhenUsed/>
    <w:rsid w:val="008467D0"/>
    <w:pPr>
      <w:tabs>
        <w:tab w:val="center" w:pos="4680"/>
        <w:tab w:val="right" w:pos="9360"/>
      </w:tabs>
    </w:pPr>
  </w:style>
  <w:style w:type="character" w:customStyle="1" w:styleId="HeaderChar">
    <w:name w:val="Header Char"/>
    <w:basedOn w:val="DefaultParagraphFont"/>
    <w:link w:val="Header"/>
    <w:uiPriority w:val="99"/>
    <w:rsid w:val="008467D0"/>
    <w:rPr>
      <w:rFonts w:ascii="Times New Roman" w:hAnsi="Times New Roman"/>
    </w:rPr>
  </w:style>
  <w:style w:type="character" w:styleId="Hyperlink">
    <w:name w:val="Hyperlink"/>
    <w:basedOn w:val="DefaultParagraphFont"/>
    <w:uiPriority w:val="99"/>
    <w:unhideWhenUsed/>
    <w:rsid w:val="00C960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1115E-81EB-4194-9C15-58787DB0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D83B0226</Template>
  <TotalTime>1</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Heather Anderson</cp:lastModifiedBy>
  <cp:revision>2</cp:revision>
  <cp:lastPrinted>2019-09-24T15:45:00Z</cp:lastPrinted>
  <dcterms:created xsi:type="dcterms:W3CDTF">2019-10-11T16:13:00Z</dcterms:created>
  <dcterms:modified xsi:type="dcterms:W3CDTF">2019-10-11T16:13:00Z</dcterms:modified>
</cp:coreProperties>
</file>